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F9" w:rsidRPr="00337476" w:rsidRDefault="00337476" w:rsidP="004252F9">
      <w:pPr>
        <w:jc w:val="center"/>
        <w:rPr>
          <w:rFonts w:ascii="Cambria" w:hAnsi="Cambria"/>
          <w:b/>
          <w:color w:val="17365D"/>
          <w:sz w:val="28"/>
          <w:szCs w:val="28"/>
          <w:u w:val="single"/>
        </w:rPr>
      </w:pPr>
      <w:r w:rsidRPr="00337476">
        <w:rPr>
          <w:rFonts w:ascii="Cambria" w:hAnsi="Cambria"/>
          <w:b/>
          <w:color w:val="17365D"/>
          <w:sz w:val="28"/>
          <w:szCs w:val="28"/>
          <w:u w:val="single"/>
        </w:rPr>
        <w:t xml:space="preserve">DISPOSITIF DE RECUPERATION - </w:t>
      </w:r>
      <w:r w:rsidR="004252F9" w:rsidRPr="00337476">
        <w:rPr>
          <w:rFonts w:ascii="Cambria" w:hAnsi="Cambria"/>
          <w:b/>
          <w:color w:val="17365D"/>
          <w:sz w:val="28"/>
          <w:szCs w:val="28"/>
          <w:u w:val="single"/>
        </w:rPr>
        <w:t xml:space="preserve">REUTILISATION </w:t>
      </w:r>
      <w:r w:rsidRPr="00337476">
        <w:rPr>
          <w:rFonts w:ascii="Cambria" w:hAnsi="Cambria"/>
          <w:b/>
          <w:color w:val="17365D"/>
          <w:sz w:val="28"/>
          <w:szCs w:val="28"/>
          <w:u w:val="single"/>
        </w:rPr>
        <w:t xml:space="preserve">/ REGULATION </w:t>
      </w:r>
      <w:r w:rsidR="004252F9" w:rsidRPr="00337476">
        <w:rPr>
          <w:rFonts w:ascii="Cambria" w:hAnsi="Cambria"/>
          <w:b/>
          <w:color w:val="17365D"/>
          <w:sz w:val="28"/>
          <w:szCs w:val="28"/>
          <w:u w:val="single"/>
        </w:rPr>
        <w:t>DES EAUX DE PLUIE</w:t>
      </w:r>
    </w:p>
    <w:p w:rsidR="004252F9" w:rsidRDefault="004252F9" w:rsidP="004252F9"/>
    <w:p w:rsidR="004252F9" w:rsidRPr="007D290E" w:rsidRDefault="004252F9" w:rsidP="004252F9">
      <w:pPr>
        <w:ind w:firstLine="708"/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Une </w:t>
      </w:r>
      <w:r w:rsidRPr="007D290E">
        <w:rPr>
          <w:rFonts w:ascii="Cambria" w:hAnsi="Cambria"/>
          <w:b/>
          <w:sz w:val="26"/>
          <w:szCs w:val="26"/>
          <w:u w:val="single"/>
        </w:rPr>
        <w:t xml:space="preserve">cuve plate de </w:t>
      </w:r>
      <w:r>
        <w:rPr>
          <w:rFonts w:ascii="Cambria" w:hAnsi="Cambria"/>
          <w:b/>
          <w:sz w:val="26"/>
          <w:szCs w:val="26"/>
          <w:u w:val="single"/>
        </w:rPr>
        <w:t xml:space="preserve">récupération </w:t>
      </w:r>
      <w:r w:rsidRPr="007D290E">
        <w:rPr>
          <w:rFonts w:ascii="Cambria" w:hAnsi="Cambria"/>
          <w:sz w:val="26"/>
          <w:szCs w:val="26"/>
        </w:rPr>
        <w:t xml:space="preserve">des eaux de pluie permettant </w:t>
      </w:r>
      <w:r>
        <w:rPr>
          <w:rFonts w:ascii="Cambria" w:hAnsi="Cambria"/>
          <w:sz w:val="26"/>
          <w:szCs w:val="26"/>
        </w:rPr>
        <w:t>le stockage</w:t>
      </w:r>
      <w:r w:rsidRPr="007D290E">
        <w:rPr>
          <w:rFonts w:ascii="Cambria" w:hAnsi="Cambria"/>
          <w:sz w:val="26"/>
          <w:szCs w:val="26"/>
        </w:rPr>
        <w:t xml:space="preserve"> </w:t>
      </w:r>
      <w:r w:rsidR="00337476">
        <w:rPr>
          <w:rFonts w:ascii="Cambria" w:hAnsi="Cambria"/>
          <w:sz w:val="26"/>
          <w:szCs w:val="26"/>
        </w:rPr>
        <w:t xml:space="preserve">à 50% et le </w:t>
      </w:r>
      <w:r w:rsidR="00337476" w:rsidRPr="00337476">
        <w:rPr>
          <w:rFonts w:ascii="Cambria" w:hAnsi="Cambria"/>
          <w:b/>
          <w:sz w:val="26"/>
          <w:szCs w:val="26"/>
          <w:u w:val="single"/>
        </w:rPr>
        <w:t>kit de régulation</w:t>
      </w:r>
      <w:r w:rsidR="00337476">
        <w:rPr>
          <w:rFonts w:ascii="Cambria" w:hAnsi="Cambria"/>
          <w:sz w:val="26"/>
          <w:szCs w:val="26"/>
        </w:rPr>
        <w:t xml:space="preserve"> permettant la régulation à 50% </w:t>
      </w:r>
      <w:r w:rsidRPr="007D290E">
        <w:rPr>
          <w:rFonts w:ascii="Cambria" w:hAnsi="Cambria"/>
          <w:sz w:val="26"/>
          <w:szCs w:val="26"/>
        </w:rPr>
        <w:t xml:space="preserve">de marque </w:t>
      </w:r>
      <w:r w:rsidRPr="007D290E">
        <w:rPr>
          <w:rFonts w:ascii="Cambria" w:hAnsi="Cambria"/>
          <w:b/>
          <w:sz w:val="26"/>
          <w:szCs w:val="26"/>
        </w:rPr>
        <w:t xml:space="preserve">PLASTEAU, </w:t>
      </w:r>
      <w:r w:rsidRPr="007D290E">
        <w:rPr>
          <w:rFonts w:ascii="Cambria" w:hAnsi="Cambria"/>
          <w:sz w:val="26"/>
          <w:szCs w:val="26"/>
        </w:rPr>
        <w:t>(www.plasteau.com) ou équivalent.</w:t>
      </w:r>
    </w:p>
    <w:p w:rsidR="004252F9" w:rsidRPr="007D290E" w:rsidRDefault="004252F9" w:rsidP="00337476">
      <w:pPr>
        <w:ind w:firstLine="708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drawing>
          <wp:inline distT="0" distB="0" distL="0" distR="0">
            <wp:extent cx="2815105" cy="1860288"/>
            <wp:effectExtent l="0" t="0" r="444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SE_ETS03000B_qu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175" cy="186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476">
        <w:rPr>
          <w:noProof/>
        </w:rPr>
        <w:drawing>
          <wp:inline distT="0" distB="0" distL="0" distR="0" wp14:anchorId="3378E746" wp14:editId="6E72C88E">
            <wp:extent cx="2009775" cy="1447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2F9" w:rsidRPr="007D290E" w:rsidRDefault="004252F9" w:rsidP="004252F9">
      <w:pPr>
        <w:ind w:firstLine="708"/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>Comprenant à la charge du présent lot :</w:t>
      </w:r>
    </w:p>
    <w:p w:rsidR="004252F9" w:rsidRPr="007D290E" w:rsidRDefault="004252F9" w:rsidP="004252F9">
      <w:pPr>
        <w:rPr>
          <w:rFonts w:ascii="Cambria" w:hAnsi="Cambria"/>
          <w:sz w:val="26"/>
          <w:szCs w:val="26"/>
        </w:rPr>
      </w:pPr>
    </w:p>
    <w:p w:rsidR="004252F9" w:rsidRPr="00337476" w:rsidRDefault="004252F9" w:rsidP="00337476">
      <w:pPr>
        <w:pStyle w:val="Paragraphedeliste"/>
        <w:numPr>
          <w:ilvl w:val="0"/>
          <w:numId w:val="2"/>
        </w:numPr>
        <w:rPr>
          <w:rFonts w:ascii="Cambria" w:hAnsi="Cambria"/>
          <w:sz w:val="26"/>
          <w:szCs w:val="26"/>
        </w:rPr>
      </w:pPr>
      <w:r w:rsidRPr="00337476">
        <w:rPr>
          <w:rFonts w:ascii="Cambria" w:hAnsi="Cambria"/>
          <w:sz w:val="26"/>
          <w:szCs w:val="26"/>
        </w:rPr>
        <w:t xml:space="preserve">Une </w:t>
      </w:r>
      <w:r w:rsidRPr="00337476">
        <w:rPr>
          <w:rFonts w:ascii="Cambria" w:hAnsi="Cambria"/>
          <w:b/>
          <w:sz w:val="26"/>
          <w:szCs w:val="26"/>
          <w:u w:val="single"/>
        </w:rPr>
        <w:t>cuve plate</w:t>
      </w:r>
      <w:r w:rsidRPr="00337476">
        <w:rPr>
          <w:rFonts w:ascii="Cambria" w:hAnsi="Cambria"/>
          <w:sz w:val="26"/>
          <w:szCs w:val="26"/>
        </w:rPr>
        <w:t xml:space="preserve"> de stockage enterrée d’un </w:t>
      </w:r>
      <w:r w:rsidRPr="00337476">
        <w:rPr>
          <w:rFonts w:ascii="Cambria" w:hAnsi="Cambria"/>
          <w:b/>
          <w:i/>
          <w:sz w:val="26"/>
          <w:szCs w:val="26"/>
          <w:u w:val="double" w:color="76923C"/>
        </w:rPr>
        <w:t>volume</w:t>
      </w:r>
      <w:r w:rsidRPr="00337476">
        <w:rPr>
          <w:rFonts w:ascii="Cambria" w:hAnsi="Cambria"/>
          <w:sz w:val="26"/>
          <w:szCs w:val="26"/>
          <w:u w:val="double" w:color="76923C"/>
        </w:rPr>
        <w:t xml:space="preserve"> de …. M³</w:t>
      </w:r>
      <w:r w:rsidRPr="00337476">
        <w:rPr>
          <w:rFonts w:ascii="Cambria" w:hAnsi="Cambria"/>
          <w:sz w:val="26"/>
          <w:szCs w:val="26"/>
        </w:rPr>
        <w:t xml:space="preserve"> </w:t>
      </w:r>
      <w:r w:rsidRPr="00337476">
        <w:rPr>
          <w:rFonts w:ascii="Cambria" w:hAnsi="Cambria"/>
          <w:b/>
          <w:i/>
          <w:sz w:val="26"/>
          <w:szCs w:val="26"/>
          <w:u w:val="double" w:color="76923C"/>
        </w:rPr>
        <w:t>référence</w:t>
      </w:r>
      <w:r w:rsidRPr="00337476">
        <w:rPr>
          <w:rFonts w:ascii="Cambria" w:hAnsi="Cambria"/>
          <w:sz w:val="26"/>
          <w:szCs w:val="26"/>
          <w:u w:val="double" w:color="76923C"/>
        </w:rPr>
        <w:t xml:space="preserve"> ETS.…</w:t>
      </w:r>
      <w:r w:rsidRPr="00337476">
        <w:rPr>
          <w:rFonts w:ascii="Cambria" w:hAnsi="Cambria"/>
          <w:b/>
          <w:sz w:val="26"/>
          <w:szCs w:val="26"/>
          <w:u w:val="double" w:color="76923C"/>
        </w:rPr>
        <w:t xml:space="preserve"> </w:t>
      </w:r>
      <w:r w:rsidRPr="00337476">
        <w:rPr>
          <w:rFonts w:ascii="Cambria" w:hAnsi="Cambria"/>
          <w:sz w:val="26"/>
          <w:szCs w:val="26"/>
        </w:rPr>
        <w:t xml:space="preserve">réalisée en polyéthylène 100% recyclable. </w:t>
      </w:r>
    </w:p>
    <w:p w:rsidR="004252F9" w:rsidRPr="007D290E" w:rsidRDefault="004252F9" w:rsidP="004252F9">
      <w:pPr>
        <w:rPr>
          <w:rFonts w:ascii="Cambria" w:hAnsi="Cambria"/>
          <w:sz w:val="26"/>
          <w:szCs w:val="26"/>
        </w:rPr>
      </w:pPr>
    </w:p>
    <w:p w:rsidR="004252F9" w:rsidRPr="007D290E" w:rsidRDefault="004252F9" w:rsidP="004252F9">
      <w:p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>Cette cuve sera équipée :</w:t>
      </w:r>
    </w:p>
    <w:p w:rsidR="004252F9" w:rsidRPr="007D290E" w:rsidRDefault="004252F9" w:rsidP="004252F9">
      <w:pPr>
        <w:rPr>
          <w:rFonts w:ascii="Cambria" w:hAnsi="Cambria"/>
          <w:sz w:val="26"/>
          <w:szCs w:val="26"/>
        </w:rPr>
      </w:pPr>
    </w:p>
    <w:p w:rsidR="004252F9" w:rsidRPr="007D290E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D’une </w:t>
      </w:r>
      <w:r w:rsidRPr="007D290E">
        <w:rPr>
          <w:rFonts w:ascii="Cambria" w:hAnsi="Cambria"/>
          <w:color w:val="FF0000"/>
          <w:sz w:val="26"/>
          <w:szCs w:val="26"/>
        </w:rPr>
        <w:t>entrée Ø 110</w:t>
      </w:r>
      <w:r w:rsidRPr="007D290E">
        <w:rPr>
          <w:rFonts w:ascii="Cambria" w:hAnsi="Cambria"/>
          <w:sz w:val="26"/>
          <w:szCs w:val="26"/>
        </w:rPr>
        <w:t xml:space="preserve"> mm </w:t>
      </w:r>
    </w:p>
    <w:p w:rsidR="004252F9" w:rsidRPr="007D290E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D’un </w:t>
      </w:r>
      <w:r w:rsidRPr="007D290E">
        <w:rPr>
          <w:rFonts w:ascii="Cambria" w:hAnsi="Cambria"/>
          <w:color w:val="FF0000"/>
          <w:sz w:val="26"/>
          <w:szCs w:val="26"/>
        </w:rPr>
        <w:t>trou d’homme</w:t>
      </w:r>
      <w:r w:rsidRPr="007D290E">
        <w:rPr>
          <w:rFonts w:ascii="Cambria" w:hAnsi="Cambria"/>
          <w:sz w:val="26"/>
          <w:szCs w:val="26"/>
        </w:rPr>
        <w:t xml:space="preserve"> de dimension minimum </w:t>
      </w:r>
      <w:r w:rsidRPr="007D290E">
        <w:rPr>
          <w:rFonts w:ascii="Cambria" w:hAnsi="Cambria"/>
          <w:color w:val="FF0000"/>
          <w:sz w:val="26"/>
          <w:szCs w:val="26"/>
        </w:rPr>
        <w:t>560</w:t>
      </w:r>
      <w:r w:rsidRPr="007D290E">
        <w:rPr>
          <w:rFonts w:ascii="Cambria" w:hAnsi="Cambria"/>
          <w:sz w:val="26"/>
          <w:szCs w:val="26"/>
        </w:rPr>
        <w:t xml:space="preserve"> avec </w:t>
      </w:r>
      <w:r w:rsidRPr="004252F9">
        <w:rPr>
          <w:rFonts w:ascii="Cambria" w:hAnsi="Cambria"/>
          <w:color w:val="FF0000"/>
          <w:sz w:val="26"/>
          <w:szCs w:val="26"/>
        </w:rPr>
        <w:t xml:space="preserve">rehausse et </w:t>
      </w:r>
      <w:r w:rsidRPr="007D290E">
        <w:rPr>
          <w:rFonts w:ascii="Cambria" w:hAnsi="Cambria"/>
          <w:color w:val="FF0000"/>
          <w:sz w:val="26"/>
          <w:szCs w:val="26"/>
        </w:rPr>
        <w:t>couvercle anti dérapant en polyéthylène</w:t>
      </w:r>
      <w:r w:rsidRPr="007D290E">
        <w:rPr>
          <w:rFonts w:ascii="Cambria" w:hAnsi="Cambria"/>
          <w:sz w:val="26"/>
          <w:szCs w:val="26"/>
        </w:rPr>
        <w:t xml:space="preserve">, </w:t>
      </w:r>
      <w:r w:rsidRPr="007D290E">
        <w:rPr>
          <w:rFonts w:ascii="Cambria" w:hAnsi="Cambria"/>
          <w:color w:val="FF0000"/>
          <w:sz w:val="26"/>
          <w:szCs w:val="26"/>
        </w:rPr>
        <w:t>fermeture par 1/4 de tour</w:t>
      </w:r>
      <w:r w:rsidRPr="007D290E">
        <w:rPr>
          <w:rFonts w:ascii="Cambria" w:hAnsi="Cambria"/>
          <w:sz w:val="26"/>
          <w:szCs w:val="26"/>
        </w:rPr>
        <w:t xml:space="preserve"> et </w:t>
      </w:r>
      <w:r w:rsidRPr="007D290E">
        <w:rPr>
          <w:rFonts w:ascii="Cambria" w:hAnsi="Cambria"/>
          <w:color w:val="FF0000"/>
          <w:sz w:val="26"/>
          <w:szCs w:val="26"/>
        </w:rPr>
        <w:t>vis de sécurité</w:t>
      </w:r>
      <w:r w:rsidRPr="007D290E">
        <w:rPr>
          <w:rFonts w:ascii="Cambria" w:hAnsi="Cambria"/>
          <w:sz w:val="26"/>
          <w:szCs w:val="26"/>
        </w:rPr>
        <w:t>.</w:t>
      </w:r>
    </w:p>
    <w:p w:rsidR="004252F9" w:rsidRPr="007D290E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D’une </w:t>
      </w:r>
      <w:r w:rsidRPr="007D290E">
        <w:rPr>
          <w:rFonts w:ascii="Cambria" w:hAnsi="Cambria"/>
          <w:color w:val="FF0000"/>
          <w:sz w:val="26"/>
          <w:szCs w:val="26"/>
        </w:rPr>
        <w:t>sortie basse Ø 110</w:t>
      </w:r>
      <w:r w:rsidRPr="007D290E">
        <w:rPr>
          <w:rFonts w:ascii="Cambria" w:hAnsi="Cambria"/>
          <w:sz w:val="26"/>
          <w:szCs w:val="26"/>
        </w:rPr>
        <w:t xml:space="preserve"> </w:t>
      </w:r>
      <w:proofErr w:type="spellStart"/>
      <w:r w:rsidRPr="007D290E">
        <w:rPr>
          <w:rFonts w:ascii="Cambria" w:hAnsi="Cambria"/>
          <w:sz w:val="26"/>
          <w:szCs w:val="26"/>
        </w:rPr>
        <w:t>mm.</w:t>
      </w:r>
      <w:proofErr w:type="spellEnd"/>
    </w:p>
    <w:p w:rsidR="004252F9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D’un </w:t>
      </w:r>
      <w:r w:rsidRPr="007D290E">
        <w:rPr>
          <w:rFonts w:ascii="Cambria" w:hAnsi="Cambria"/>
          <w:color w:val="FF0000"/>
          <w:sz w:val="26"/>
          <w:szCs w:val="26"/>
        </w:rPr>
        <w:t>trop plein d’urgence</w:t>
      </w:r>
      <w:r w:rsidRPr="007D290E">
        <w:rPr>
          <w:rFonts w:ascii="Cambria" w:hAnsi="Cambria"/>
          <w:sz w:val="26"/>
          <w:szCs w:val="26"/>
        </w:rPr>
        <w:t xml:space="preserve"> en PVC.</w:t>
      </w:r>
    </w:p>
    <w:p w:rsidR="002B01C5" w:rsidRDefault="004252F9" w:rsidP="002B01C5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D’un </w:t>
      </w:r>
      <w:r w:rsidRPr="002B01C5">
        <w:rPr>
          <w:rFonts w:ascii="Cambria" w:hAnsi="Cambria"/>
          <w:color w:val="FF0000"/>
          <w:sz w:val="26"/>
          <w:szCs w:val="26"/>
        </w:rPr>
        <w:t>filtre inox 1000 microns</w:t>
      </w:r>
      <w:r w:rsidR="002B01C5" w:rsidRPr="002B01C5">
        <w:rPr>
          <w:rFonts w:ascii="Cambria" w:hAnsi="Cambria"/>
          <w:color w:val="FF0000"/>
          <w:sz w:val="26"/>
          <w:szCs w:val="26"/>
        </w:rPr>
        <w:t xml:space="preserve"> </w:t>
      </w:r>
      <w:r w:rsidR="002B01C5">
        <w:rPr>
          <w:rFonts w:ascii="Cambria" w:hAnsi="Cambria"/>
          <w:sz w:val="26"/>
          <w:szCs w:val="26"/>
        </w:rPr>
        <w:t>amovible.</w:t>
      </w:r>
    </w:p>
    <w:p w:rsidR="002B01C5" w:rsidRDefault="002B01C5" w:rsidP="002B01C5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D’un </w:t>
      </w:r>
      <w:r w:rsidRPr="002B01C5">
        <w:rPr>
          <w:rFonts w:ascii="Cambria" w:hAnsi="Cambria"/>
          <w:color w:val="FF0000"/>
          <w:sz w:val="26"/>
          <w:szCs w:val="26"/>
        </w:rPr>
        <w:t>compartiment à filtre</w:t>
      </w:r>
      <w:r>
        <w:rPr>
          <w:rFonts w:ascii="Cambria" w:hAnsi="Cambria"/>
          <w:color w:val="FF0000"/>
          <w:sz w:val="26"/>
          <w:szCs w:val="26"/>
        </w:rPr>
        <w:t>.</w:t>
      </w:r>
    </w:p>
    <w:p w:rsidR="002B01C5" w:rsidRDefault="002B01C5" w:rsidP="002B01C5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D’un </w:t>
      </w:r>
      <w:r w:rsidRPr="002B01C5">
        <w:rPr>
          <w:rFonts w:ascii="Cambria" w:hAnsi="Cambria"/>
          <w:color w:val="FF0000"/>
          <w:sz w:val="26"/>
          <w:szCs w:val="26"/>
        </w:rPr>
        <w:t>système d’aspiration Ø 1</w:t>
      </w:r>
      <w:r w:rsidRPr="002B01C5">
        <w:rPr>
          <w:rFonts w:ascii="Calibri" w:hAnsi="Calibri"/>
          <w:color w:val="FF0000"/>
          <w:sz w:val="26"/>
          <w:szCs w:val="26"/>
        </w:rPr>
        <w:t>"</w:t>
      </w:r>
    </w:p>
    <w:p w:rsidR="002B01C5" w:rsidRDefault="002B01C5" w:rsidP="002B01C5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D’un </w:t>
      </w:r>
      <w:r w:rsidRPr="002B01C5">
        <w:rPr>
          <w:rFonts w:ascii="Cambria" w:hAnsi="Cambria"/>
          <w:color w:val="FF0000"/>
          <w:sz w:val="26"/>
          <w:szCs w:val="26"/>
        </w:rPr>
        <w:t>système de refoulement</w:t>
      </w:r>
    </w:p>
    <w:p w:rsidR="002B01C5" w:rsidRPr="002B01C5" w:rsidRDefault="002B01C5" w:rsidP="002B01C5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De </w:t>
      </w:r>
      <w:r w:rsidRPr="002B01C5">
        <w:rPr>
          <w:rFonts w:ascii="Cambria" w:hAnsi="Cambria"/>
          <w:color w:val="FF0000"/>
          <w:sz w:val="26"/>
          <w:szCs w:val="26"/>
        </w:rPr>
        <w:t xml:space="preserve">deux raccords filetés </w:t>
      </w:r>
      <w:r>
        <w:rPr>
          <w:rFonts w:ascii="Cambria" w:hAnsi="Cambria"/>
          <w:sz w:val="26"/>
          <w:szCs w:val="26"/>
        </w:rPr>
        <w:t>1</w:t>
      </w:r>
      <w:r>
        <w:rPr>
          <w:rFonts w:ascii="Calibri" w:hAnsi="Calibri"/>
          <w:sz w:val="26"/>
          <w:szCs w:val="26"/>
        </w:rPr>
        <w:t>"</w:t>
      </w:r>
      <w:r>
        <w:rPr>
          <w:rFonts w:ascii="Cambria" w:hAnsi="Cambria"/>
          <w:sz w:val="26"/>
          <w:szCs w:val="26"/>
        </w:rPr>
        <w:t xml:space="preserve">, une </w:t>
      </w:r>
      <w:r w:rsidRPr="002B01C5">
        <w:rPr>
          <w:rFonts w:ascii="Cambria" w:hAnsi="Cambria"/>
          <w:color w:val="FF0000"/>
          <w:sz w:val="26"/>
          <w:szCs w:val="26"/>
        </w:rPr>
        <w:t>plaque d’identification</w:t>
      </w:r>
      <w:r>
        <w:rPr>
          <w:rFonts w:ascii="Cambria" w:hAnsi="Cambria"/>
          <w:sz w:val="26"/>
          <w:szCs w:val="26"/>
        </w:rPr>
        <w:t xml:space="preserve">, une </w:t>
      </w:r>
      <w:r w:rsidRPr="002B01C5">
        <w:rPr>
          <w:rFonts w:ascii="Cambria" w:hAnsi="Cambria"/>
          <w:color w:val="FF0000"/>
          <w:sz w:val="26"/>
          <w:szCs w:val="26"/>
        </w:rPr>
        <w:t>chaîne</w:t>
      </w:r>
      <w:r>
        <w:rPr>
          <w:rFonts w:ascii="Cambria" w:hAnsi="Cambria"/>
          <w:sz w:val="26"/>
          <w:szCs w:val="26"/>
        </w:rPr>
        <w:t xml:space="preserve"> et </w:t>
      </w:r>
      <w:r w:rsidRPr="002B01C5">
        <w:rPr>
          <w:rFonts w:ascii="Cambria" w:hAnsi="Cambria"/>
          <w:color w:val="FF0000"/>
          <w:sz w:val="26"/>
          <w:szCs w:val="26"/>
        </w:rPr>
        <w:t>deux autocollants</w:t>
      </w:r>
      <w:r>
        <w:rPr>
          <w:rFonts w:ascii="Cambria" w:hAnsi="Cambria"/>
          <w:sz w:val="26"/>
          <w:szCs w:val="26"/>
        </w:rPr>
        <w:t>.</w:t>
      </w:r>
    </w:p>
    <w:p w:rsidR="004252F9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>En présence de nappe phréatique prévoir l’</w:t>
      </w:r>
      <w:r w:rsidRPr="007D290E">
        <w:rPr>
          <w:rFonts w:ascii="Cambria" w:hAnsi="Cambria"/>
          <w:color w:val="FF0000"/>
          <w:sz w:val="26"/>
          <w:szCs w:val="26"/>
        </w:rPr>
        <w:t>ancrage de la cuve</w:t>
      </w:r>
      <w:r w:rsidRPr="007D290E">
        <w:rPr>
          <w:rFonts w:ascii="Cambria" w:hAnsi="Cambria"/>
          <w:sz w:val="26"/>
          <w:szCs w:val="26"/>
        </w:rPr>
        <w:t xml:space="preserve">. </w:t>
      </w:r>
    </w:p>
    <w:p w:rsidR="00337476" w:rsidRPr="007D290E" w:rsidRDefault="00337476" w:rsidP="00337476">
      <w:pPr>
        <w:ind w:left="1440"/>
        <w:rPr>
          <w:rFonts w:ascii="Cambria" w:hAnsi="Cambria"/>
          <w:sz w:val="26"/>
          <w:szCs w:val="26"/>
        </w:rPr>
      </w:pPr>
    </w:p>
    <w:p w:rsidR="004252F9" w:rsidRPr="00337476" w:rsidRDefault="00337476" w:rsidP="00337476">
      <w:pPr>
        <w:pStyle w:val="Paragraphedeliste"/>
        <w:numPr>
          <w:ilvl w:val="0"/>
          <w:numId w:val="2"/>
        </w:numPr>
        <w:rPr>
          <w:rFonts w:ascii="Cambria" w:hAnsi="Cambria"/>
          <w:b/>
          <w:color w:val="FF0000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Un </w:t>
      </w:r>
      <w:r w:rsidRPr="00337476">
        <w:rPr>
          <w:rFonts w:ascii="Cambria" w:hAnsi="Cambria"/>
          <w:b/>
          <w:sz w:val="26"/>
          <w:szCs w:val="26"/>
          <w:u w:val="single"/>
        </w:rPr>
        <w:t>Kit de régulation ETKR100</w:t>
      </w:r>
      <w:r>
        <w:rPr>
          <w:rFonts w:ascii="Cambria" w:hAnsi="Cambria"/>
          <w:sz w:val="26"/>
          <w:szCs w:val="26"/>
        </w:rPr>
        <w:t xml:space="preserve"> permettant de transformer une cuve ECOSLIM en cuve de régulation, </w:t>
      </w:r>
      <w:r w:rsidRPr="00337476">
        <w:rPr>
          <w:rFonts w:ascii="Cambria" w:hAnsi="Cambria"/>
          <w:color w:val="FF0000"/>
          <w:sz w:val="26"/>
          <w:szCs w:val="26"/>
        </w:rPr>
        <w:t>50% du volume en partie basse est réutilisé</w:t>
      </w:r>
      <w:r>
        <w:rPr>
          <w:rFonts w:ascii="Cambria" w:hAnsi="Cambria"/>
          <w:sz w:val="26"/>
          <w:szCs w:val="26"/>
        </w:rPr>
        <w:t xml:space="preserve"> et </w:t>
      </w:r>
      <w:bookmarkStart w:id="0" w:name="_GoBack"/>
      <w:r w:rsidRPr="00337476">
        <w:rPr>
          <w:rFonts w:ascii="Cambria" w:hAnsi="Cambria"/>
          <w:color w:val="FF0000"/>
          <w:sz w:val="26"/>
          <w:szCs w:val="26"/>
        </w:rPr>
        <w:t>50% en partie haute est utilisé pour réguler le débit en cas d’orage.</w:t>
      </w:r>
    </w:p>
    <w:bookmarkEnd w:id="0"/>
    <w:p w:rsidR="004252F9" w:rsidRPr="007D290E" w:rsidRDefault="004252F9" w:rsidP="004252F9">
      <w:pPr>
        <w:rPr>
          <w:rFonts w:ascii="Cambria" w:hAnsi="Cambria"/>
          <w:b/>
          <w:sz w:val="26"/>
          <w:szCs w:val="26"/>
        </w:rPr>
      </w:pPr>
    </w:p>
    <w:p w:rsidR="004252F9" w:rsidRPr="007D290E" w:rsidRDefault="004252F9" w:rsidP="004252F9">
      <w:pPr>
        <w:rPr>
          <w:rFonts w:ascii="Cambria" w:hAnsi="Cambria"/>
          <w:b/>
          <w:sz w:val="26"/>
          <w:szCs w:val="26"/>
        </w:rPr>
      </w:pPr>
    </w:p>
    <w:p w:rsidR="004252F9" w:rsidRPr="007D290E" w:rsidRDefault="004252F9" w:rsidP="004252F9">
      <w:pPr>
        <w:widowControl w:val="0"/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>L’unité de récupération des eaux de pluie devra être installée selon la notice de pose.</w:t>
      </w:r>
    </w:p>
    <w:sectPr w:rsidR="004252F9" w:rsidRPr="007D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DEA"/>
    <w:multiLevelType w:val="hybridMultilevel"/>
    <w:tmpl w:val="01AECC80"/>
    <w:lvl w:ilvl="0" w:tplc="EAF432F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B6AD8"/>
    <w:multiLevelType w:val="hybridMultilevel"/>
    <w:tmpl w:val="B368217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F9"/>
    <w:rsid w:val="002B01C5"/>
    <w:rsid w:val="0032349C"/>
    <w:rsid w:val="00337476"/>
    <w:rsid w:val="004252F9"/>
    <w:rsid w:val="00C2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2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2F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37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2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2F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3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555E-51E0-47D1-971E-BFBA0490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 Florine</dc:creator>
  <cp:lastModifiedBy>LE GALL Florine</cp:lastModifiedBy>
  <cp:revision>2</cp:revision>
  <dcterms:created xsi:type="dcterms:W3CDTF">2014-03-19T14:39:00Z</dcterms:created>
  <dcterms:modified xsi:type="dcterms:W3CDTF">2014-03-19T14:39:00Z</dcterms:modified>
</cp:coreProperties>
</file>